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电梯检测服务项目</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5338"/>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5338"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1866"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电梯检测服务</w:t>
            </w:r>
          </w:p>
        </w:tc>
        <w:tc>
          <w:tcPr>
            <w:tcW w:w="5338" w:type="dxa"/>
            <w:vAlign w:val="center"/>
          </w:tcPr>
          <w:p>
            <w:pPr>
              <w:jc w:val="left"/>
              <w:rPr>
                <w:rFonts w:hint="default" w:ascii="宋体" w:hAnsi="宋体" w:eastAsia="宋体" w:cs="宋体"/>
                <w:b w:val="0"/>
                <w:color w:val="auto"/>
                <w:kern w:val="2"/>
                <w:sz w:val="24"/>
                <w:szCs w:val="24"/>
                <w:highlight w:val="none"/>
                <w:vertAlign w:val="baseline"/>
                <w:lang w:val="en-US" w:eastAsia="zh-CN" w:bidi="ar"/>
              </w:rPr>
            </w:pPr>
            <w:r>
              <w:rPr>
                <w:rFonts w:hint="default" w:ascii="宋体" w:hAnsi="宋体" w:eastAsia="宋体" w:cs="宋体"/>
                <w:b w:val="0"/>
                <w:color w:val="auto"/>
                <w:kern w:val="2"/>
                <w:sz w:val="24"/>
                <w:szCs w:val="24"/>
                <w:highlight w:val="none"/>
                <w:vertAlign w:val="baseline"/>
                <w:lang w:val="en-US" w:eastAsia="zh-CN" w:bidi="ar"/>
              </w:rPr>
              <w:t>曳引驱动乘客电梯4层</w:t>
            </w:r>
            <w:r>
              <w:rPr>
                <w:rFonts w:hint="eastAsia" w:ascii="宋体" w:hAnsi="宋体" w:eastAsia="宋体" w:cs="宋体"/>
                <w:b w:val="0"/>
                <w:color w:val="auto"/>
                <w:kern w:val="2"/>
                <w:sz w:val="24"/>
                <w:szCs w:val="24"/>
                <w:highlight w:val="none"/>
                <w:vertAlign w:val="baseline"/>
                <w:lang w:val="en-US" w:eastAsia="zh-CN" w:bidi="ar"/>
              </w:rPr>
              <w:t>，4台</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default" w:ascii="宋体" w:hAnsi="宋体" w:eastAsia="宋体" w:cs="宋体"/>
                <w:b w:val="0"/>
                <w:color w:val="auto"/>
                <w:kern w:val="2"/>
                <w:sz w:val="24"/>
                <w:szCs w:val="24"/>
                <w:highlight w:val="none"/>
                <w:vertAlign w:val="baseline"/>
                <w:lang w:val="en-US" w:eastAsia="zh-CN" w:bidi="ar"/>
              </w:rPr>
              <w:t>曳引驱动乘客电梯5层</w:t>
            </w:r>
            <w:r>
              <w:rPr>
                <w:rFonts w:hint="eastAsia" w:ascii="宋体" w:hAnsi="宋体" w:eastAsia="宋体" w:cs="宋体"/>
                <w:b w:val="0"/>
                <w:color w:val="auto"/>
                <w:kern w:val="2"/>
                <w:sz w:val="24"/>
                <w:szCs w:val="24"/>
                <w:highlight w:val="none"/>
                <w:vertAlign w:val="baseline"/>
                <w:lang w:val="en-US" w:eastAsia="zh-CN" w:bidi="ar"/>
              </w:rPr>
              <w:t>，4台</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default" w:ascii="宋体" w:hAnsi="宋体" w:eastAsia="宋体" w:cs="宋体"/>
                <w:b w:val="0"/>
                <w:color w:val="auto"/>
                <w:kern w:val="2"/>
                <w:sz w:val="24"/>
                <w:szCs w:val="24"/>
                <w:highlight w:val="none"/>
                <w:vertAlign w:val="baseline"/>
                <w:lang w:val="en-US" w:eastAsia="zh-CN" w:bidi="ar"/>
              </w:rPr>
              <w:t>曳引驱动乘客电梯12层</w:t>
            </w:r>
            <w:r>
              <w:rPr>
                <w:rFonts w:hint="eastAsia" w:ascii="宋体" w:hAnsi="宋体" w:eastAsia="宋体" w:cs="宋体"/>
                <w:b w:val="0"/>
                <w:color w:val="auto"/>
                <w:kern w:val="2"/>
                <w:sz w:val="24"/>
                <w:szCs w:val="24"/>
                <w:highlight w:val="none"/>
                <w:vertAlign w:val="baseline"/>
                <w:lang w:val="en-US" w:eastAsia="zh-CN" w:bidi="ar"/>
              </w:rPr>
              <w:t>，5台</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default" w:ascii="宋体" w:hAnsi="宋体" w:eastAsia="宋体" w:cs="宋体"/>
                <w:b w:val="0"/>
                <w:color w:val="auto"/>
                <w:kern w:val="2"/>
                <w:sz w:val="24"/>
                <w:szCs w:val="24"/>
                <w:highlight w:val="none"/>
                <w:vertAlign w:val="baseline"/>
                <w:lang w:val="en-US" w:eastAsia="zh-CN" w:bidi="ar"/>
              </w:rPr>
              <w:t>曳引驱动乘客电梯13层</w:t>
            </w:r>
            <w:r>
              <w:rPr>
                <w:rFonts w:hint="eastAsia" w:ascii="宋体" w:hAnsi="宋体" w:eastAsia="宋体" w:cs="宋体"/>
                <w:b w:val="0"/>
                <w:color w:val="auto"/>
                <w:kern w:val="2"/>
                <w:sz w:val="24"/>
                <w:szCs w:val="24"/>
                <w:highlight w:val="none"/>
                <w:vertAlign w:val="baseline"/>
                <w:lang w:val="en-US" w:eastAsia="zh-CN" w:bidi="ar"/>
              </w:rPr>
              <w:t>，1台</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default" w:ascii="宋体" w:hAnsi="宋体" w:eastAsia="宋体" w:cs="宋体"/>
                <w:b w:val="0"/>
                <w:color w:val="auto"/>
                <w:kern w:val="2"/>
                <w:sz w:val="24"/>
                <w:szCs w:val="24"/>
                <w:highlight w:val="none"/>
                <w:vertAlign w:val="baseline"/>
                <w:lang w:val="en-US" w:eastAsia="zh-CN" w:bidi="ar"/>
              </w:rPr>
              <w:t>自动扶梯</w:t>
            </w:r>
            <w:r>
              <w:rPr>
                <w:rFonts w:hint="eastAsia" w:ascii="宋体" w:hAnsi="宋体" w:eastAsia="宋体" w:cs="宋体"/>
                <w:b w:val="0"/>
                <w:color w:val="auto"/>
                <w:kern w:val="2"/>
                <w:sz w:val="24"/>
                <w:szCs w:val="24"/>
                <w:highlight w:val="none"/>
                <w:vertAlign w:val="baseline"/>
                <w:lang w:val="en-US" w:eastAsia="zh-CN" w:bidi="ar"/>
              </w:rPr>
              <w:t>，8台</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检测后10个工作日内出检测报告</w:t>
            </w:r>
          </w:p>
        </w:tc>
        <w:tc>
          <w:tcPr>
            <w:tcW w:w="1866"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检测时间及地点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default" w:ascii="宋体" w:hAnsi="宋体" w:eastAsia="宋体" w:cs="宋体"/>
                <w:b w:val="0"/>
                <w:color w:val="auto"/>
                <w:kern w:val="2"/>
                <w:sz w:val="21"/>
                <w:szCs w:val="21"/>
                <w:lang w:val="en-US"/>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、检测时间：根据北海市妇幼保健院通知。</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2、检测地点：</w:t>
            </w:r>
            <w:bookmarkStart w:id="0" w:name="OLE_LINK1"/>
            <w:r>
              <w:rPr>
                <w:rFonts w:hint="eastAsia" w:ascii="宋体" w:hAnsi="宋体" w:eastAsia="宋体" w:cs="宋体"/>
                <w:b w:val="0"/>
                <w:color w:val="auto"/>
                <w:kern w:val="2"/>
                <w:sz w:val="21"/>
                <w:szCs w:val="21"/>
                <w:lang w:val="en-US" w:eastAsia="zh-CN" w:bidi="ar"/>
              </w:rPr>
              <w:t>北海市妇幼保健院</w:t>
            </w:r>
            <w:bookmarkEnd w:id="0"/>
            <w:r>
              <w:rPr>
                <w:rFonts w:hint="eastAsia" w:ascii="宋体" w:hAnsi="宋体" w:eastAsia="宋体" w:cs="宋体"/>
                <w:b w:val="0"/>
                <w:color w:val="auto"/>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无预付款，验收合格后，成交人按执行金额开具有效等额发票交采购人，采购人按照财务审批流程确认无误后支付该批货物全部合同款给成交人。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kern w:val="2"/>
                <w:sz w:val="21"/>
                <w:szCs w:val="21"/>
                <w:lang w:val="en-US" w:eastAsia="zh-CN" w:bidi="ar"/>
              </w:rPr>
            </w:pPr>
            <w:r>
              <w:rPr>
                <w:rFonts w:hint="eastAsia" w:ascii="宋体" w:hAnsi="宋体" w:eastAsia="宋体" w:cs="宋体"/>
                <w:b w:val="0"/>
                <w:kern w:val="2"/>
                <w:sz w:val="21"/>
                <w:szCs w:val="21"/>
                <w:lang w:val="en-US" w:eastAsia="zh-CN" w:bidi="ar"/>
              </w:rPr>
              <w:t>报价</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报价需包含检测所需的所有费用</w:t>
            </w:r>
            <w:bookmarkStart w:id="1" w:name="_GoBack"/>
            <w:bookmarkEnd w:id="1"/>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A8B1444"/>
    <w:rsid w:val="108E7745"/>
    <w:rsid w:val="1CD10EAC"/>
    <w:rsid w:val="1D577918"/>
    <w:rsid w:val="215D551A"/>
    <w:rsid w:val="24716F9E"/>
    <w:rsid w:val="2597328D"/>
    <w:rsid w:val="2981493E"/>
    <w:rsid w:val="29E6168F"/>
    <w:rsid w:val="2D1629BF"/>
    <w:rsid w:val="31410A28"/>
    <w:rsid w:val="382B4C66"/>
    <w:rsid w:val="4027414D"/>
    <w:rsid w:val="41E2162B"/>
    <w:rsid w:val="485A67E9"/>
    <w:rsid w:val="4D74169B"/>
    <w:rsid w:val="4D8B7E4D"/>
    <w:rsid w:val="4F007AE2"/>
    <w:rsid w:val="4F737399"/>
    <w:rsid w:val="51445BB7"/>
    <w:rsid w:val="51AD58EC"/>
    <w:rsid w:val="548017AA"/>
    <w:rsid w:val="5967392B"/>
    <w:rsid w:val="5A337703"/>
    <w:rsid w:val="5AEE2894"/>
    <w:rsid w:val="5B29077D"/>
    <w:rsid w:val="5E901257"/>
    <w:rsid w:val="63BB7DD5"/>
    <w:rsid w:val="6A046E6E"/>
    <w:rsid w:val="74FD7184"/>
    <w:rsid w:val="75D141D1"/>
    <w:rsid w:val="76920E3E"/>
    <w:rsid w:val="77686062"/>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2025-01-14T10:10:53Z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