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bookmarkStart w:id="0" w:name="OLE_LINK1"/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医保业务综合服务终端</w:t>
      </w:r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项目要求及技术需求</w:t>
      </w:r>
    </w:p>
    <w:tbl>
      <w:tblPr>
        <w:tblStyle w:val="7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7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操作系统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Android 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中央处理器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64位CPU，八核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1.8GHz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存    储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4GB RAM+64GB 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显 示 屏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显示屏主屏为8寸</w:t>
            </w:r>
            <w:r>
              <w:rPr>
                <w:b/>
                <w:bCs/>
                <w:szCs w:val="21"/>
              </w:rPr>
              <w:t>,</w:t>
            </w:r>
            <w:r>
              <w:rPr>
                <w:rFonts w:hint="eastAsia"/>
                <w:b/>
                <w:bCs/>
                <w:szCs w:val="21"/>
                <w:lang w:eastAsia="zh-Hans"/>
              </w:rPr>
              <w:t>分辨率</w:t>
            </w:r>
            <w:r>
              <w:rPr>
                <w:rFonts w:hint="eastAsia"/>
                <w:b/>
                <w:bCs/>
                <w:szCs w:val="21"/>
              </w:rPr>
              <w:t>800x1280，G+G 电容多点触摸屏。显示屏支持上下左右角度调整，方便患者操作，其中可旋转刷脸平板的水平（0°～359°）与垂直（-15°～23°），整机可调高度360mm到460mm。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人脸识别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3D结构光摄像头、支持人脸活体检测；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支持3D结构光摄像头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Baseline：40mm；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深度范围：0.3-1m；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深度图分辨率：960*1280@30fps， 480x640@30fps；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彩色图分辨率：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- 5MP (2592x1944): 25 fps，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quad HD (2560x1440): 25 fps，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- 1080p (1920x1080): 60 fps，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- 960p(1280*960):60fps，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- 720p (1280x720): 60 fps，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- VGA (640x480): 120 fps；</w:t>
            </w:r>
          </w:p>
          <w:p>
            <w:pPr>
              <w:pStyle w:val="5"/>
              <w:spacing w:line="24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深度 FOV H53° V61.5°；</w:t>
            </w:r>
          </w:p>
          <w:p>
            <w:pPr>
              <w:pStyle w:val="5"/>
              <w:spacing w:line="240" w:lineRule="auto"/>
            </w:pPr>
            <w:r>
              <w:rPr>
                <w:rFonts w:hint="eastAsia" w:ascii="宋体" w:hAnsi="宋体" w:cs="宋体"/>
              </w:rPr>
              <w:t>彩色 FOV H56.7°V71.5°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 示 灯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平板支持1个红黄蓝三色指示灯，底座支持4个单色指示灯，蓝黄绿红各1个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按    键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含电源键、 音量加/减键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蜂 鸣 器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支持蜂鸣器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IC卡、银行卡受理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zh-TW" w:eastAsia="zh-TW"/>
              </w:rPr>
              <w:t>同时支持内置银行卡IC卡阅读器及外置银行卡IC卡阅读器配置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非接触卡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支持非接触卡阅读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SIM卡座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1个，支持4G全网通卡槽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PSAM卡座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4个，符合 ISO/IEC 7816 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扫码模块</w:t>
            </w:r>
          </w:p>
        </w:tc>
        <w:tc>
          <w:tcPr>
            <w:tcW w:w="7014" w:type="dxa"/>
            <w:vAlign w:val="center"/>
          </w:tcPr>
          <w:p>
            <w:r>
              <w:rPr>
                <w:rFonts w:hint="eastAsia"/>
              </w:rPr>
              <w:t>支持扫码读取（一维码、二维码）功能；</w:t>
            </w:r>
          </w:p>
          <w:p>
            <w:r>
              <w:rPr>
                <w:rFonts w:hint="eastAsia"/>
              </w:rPr>
              <w:t>采集方式：影像式，CMOS。</w:t>
            </w:r>
          </w:p>
          <w:p>
            <w:r>
              <w:rPr>
                <w:rFonts w:hint="eastAsia"/>
              </w:rPr>
              <w:t>分辨率：640×480。</w:t>
            </w:r>
          </w:p>
          <w:p>
            <w:r>
              <w:rPr>
                <w:rFonts w:hint="eastAsia"/>
              </w:rPr>
              <w:t>视场角度：对角 72°，水平 60°，垂直 48°。</w:t>
            </w:r>
          </w:p>
          <w:p>
            <w:r>
              <w:rPr>
                <w:rFonts w:hint="eastAsia"/>
              </w:rPr>
              <w:t>扫描角度：转角 360°，仰角 ± 55°，偏角 ± 55°。</w:t>
            </w:r>
          </w:p>
          <w:p>
            <w:r>
              <w:rPr>
                <w:rFonts w:hint="eastAsia"/>
              </w:rPr>
              <w:t>识别精度：二维≥7.5mil，一维≥5mil。</w:t>
            </w:r>
          </w:p>
          <w:p>
            <w:r>
              <w:rPr>
                <w:rFonts w:hint="eastAsia"/>
                <w:lang w:eastAsia="zh-Hans"/>
              </w:rPr>
              <w:t>支持</w:t>
            </w:r>
            <w:r>
              <w:rPr>
                <w:rFonts w:hint="eastAsia"/>
              </w:rPr>
              <w:t>符合国际、国内通用二维码标准:</w:t>
            </w:r>
          </w:p>
          <w:p>
            <w:r>
              <w:rPr>
                <w:rFonts w:hint="eastAsia"/>
              </w:rPr>
              <w:t>QR Code, Data Matrix, PDF417 等</w:t>
            </w:r>
            <w:r>
              <w:rPr>
                <w:rFonts w:hint="eastAsia"/>
                <w:lang w:eastAsia="zh-Hans"/>
              </w:rPr>
              <w:t>。</w:t>
            </w:r>
          </w:p>
          <w:p>
            <w:r>
              <w:rPr>
                <w:rFonts w:hint="eastAsia"/>
                <w:lang w:eastAsia="zh-Hans"/>
              </w:rPr>
              <w:t>支持</w:t>
            </w:r>
            <w:r>
              <w:rPr>
                <w:rFonts w:hint="eastAsia"/>
              </w:rPr>
              <w:t>符合国际、国内通用一维码标准:</w:t>
            </w:r>
          </w:p>
          <w:p>
            <w:r>
              <w:rPr>
                <w:rFonts w:hint="eastAsia"/>
              </w:rPr>
              <w:t>Code 128，UPC，EAN, ISBN, GS1 128, Code 39, Code93,</w:t>
            </w:r>
          </w:p>
          <w:p>
            <w:r>
              <w:rPr>
                <w:rFonts w:hint="eastAsia"/>
              </w:rPr>
              <w:t>Interleaved 2 of 5,Industrial 2 of 5,Matrix 25, Standard 25,</w:t>
            </w:r>
          </w:p>
          <w:p>
            <w:pPr>
              <w:pStyle w:val="5"/>
            </w:pPr>
            <w:r>
              <w:rPr>
                <w:rFonts w:hint="eastAsia"/>
              </w:rPr>
              <w:t>Codabar, MSI/MSI PLESSEY, GS1 DataBar 等</w:t>
            </w:r>
            <w:r>
              <w:rPr>
                <w:rFonts w:hint="eastAsia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语音播报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支持语音播报，且支持定制语音播报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以太网模块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以太网：支持，且支持10M/100M自适应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4G通讯模块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内置4G全网通模块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   源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支持100-240V电压，50-60Hz交流电条件下正常工作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键    盘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支持外接密码键盘或数字小键盘，用于密码输入和金额输入，</w:t>
            </w:r>
            <w:r>
              <w:rPr>
                <w:rFonts w:hint="eastAsia"/>
                <w:b/>
                <w:bCs/>
                <w:szCs w:val="21"/>
              </w:rPr>
              <w:t>密码键盘额外支持非接读卡和液晶显示屏。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行业认证</w:t>
            </w:r>
          </w:p>
        </w:tc>
        <w:tc>
          <w:tcPr>
            <w:tcW w:w="7014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具备国家医保局认可的医保业务综合服务终端检测报告；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具备CCC证书、电信入网证书、银行卡检测中心终端安全检测报告。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读二代身份证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支持读二代居民身份证信息读取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9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服务</w:t>
            </w:r>
          </w:p>
        </w:tc>
        <w:tc>
          <w:tcPr>
            <w:tcW w:w="7014" w:type="dxa"/>
            <w:vAlign w:val="center"/>
          </w:tcPr>
          <w:p>
            <w:pPr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医保终端、物联网卡*3年、系统集成、实施服务、凭证激活、安全检测*3年、维保延期*3年、医保结算*3年、就医全流程*3年、处方流转*3年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2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7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4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2B47648"/>
    <w:rsid w:val="07A03680"/>
    <w:rsid w:val="09FD7C25"/>
    <w:rsid w:val="0A8B1444"/>
    <w:rsid w:val="108E7745"/>
    <w:rsid w:val="11187398"/>
    <w:rsid w:val="170479F1"/>
    <w:rsid w:val="1BD67372"/>
    <w:rsid w:val="1CD10EAC"/>
    <w:rsid w:val="215D551A"/>
    <w:rsid w:val="24716F9E"/>
    <w:rsid w:val="2981493E"/>
    <w:rsid w:val="2D1629BF"/>
    <w:rsid w:val="31410A28"/>
    <w:rsid w:val="32EB498D"/>
    <w:rsid w:val="363A7E23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6893180"/>
    <w:rsid w:val="5B29077D"/>
    <w:rsid w:val="60DE31FD"/>
    <w:rsid w:val="63BB7DD5"/>
    <w:rsid w:val="6A046E6E"/>
    <w:rsid w:val="732C22C8"/>
    <w:rsid w:val="73B553E2"/>
    <w:rsid w:val="75D141D1"/>
    <w:rsid w:val="76920E3E"/>
    <w:rsid w:val="7811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2"/>
    <w:basedOn w:val="1"/>
    <w:next w:val="2"/>
    <w:qFormat/>
    <w:uiPriority w:val="0"/>
    <w:pPr>
      <w:spacing w:after="120" w:line="480" w:lineRule="auto"/>
      <w:jc w:val="left"/>
    </w:pPr>
    <w:rPr>
      <w:rFonts w:asciiTheme="minorHAnsi" w:hAnsiTheme="minorHAnsi" w:cstheme="minorBidi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1">
    <w:name w:val="标题 1 Char"/>
    <w:link w:val="3"/>
    <w:qFormat/>
    <w:uiPriority w:val="0"/>
    <w:rPr>
      <w:b/>
      <w:bCs/>
      <w:kern w:val="44"/>
      <w:sz w:val="44"/>
      <w:szCs w:val="44"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2025-04-11T10:32:41Z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