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防盗门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97" w:type="dxa"/>
          </w:tcPr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一、安装地点：北海市海城区西南大道239号，北海市妇幼保健院科研楼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二、完成时间：签订合同后30天内安装完毕。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三、预算控制价为人民币：14600元</w:t>
            </w:r>
          </w:p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四、采购范围及质量要求：</w:t>
            </w:r>
          </w:p>
          <w:tbl>
            <w:tblPr>
              <w:tblStyle w:val="6"/>
              <w:tblW w:w="0" w:type="auto"/>
              <w:tblInd w:w="3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0"/>
              <w:gridCol w:w="67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钢质隔热防（盗）火门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4个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技术标准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GB12955-2008防火门窗技术标准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材质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钢质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防火等级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甲级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质量体系认证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IOS9001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eastAsia" w:eastAsiaTheme="minor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2400</w:t>
                  </w:r>
                  <w:r>
                    <w:rPr>
                      <w:rFonts w:hint="eastAsia" w:ascii="宋体" w:hAnsi="宋体" w:eastAsia="宋体" w:cs="宋体"/>
                      <w:sz w:val="22"/>
                      <w:szCs w:val="28"/>
                      <w:vertAlign w:val="baseline"/>
                      <w:lang w:val="en-US" w:eastAsia="zh-CN"/>
                    </w:rPr>
                    <w:t>×</w:t>
                  </w: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2700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  <w:vMerge w:val="restart"/>
                </w:tcPr>
                <w:p>
                  <w:pPr>
                    <w:jc w:val="both"/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板材厚度</w:t>
                  </w:r>
                </w:p>
                <w:p>
                  <w:pPr>
                    <w:jc w:val="both"/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 w:eastAsiaTheme="minor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门扇面板0.8mm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  <w:vMerge w:val="continue"/>
                </w:tcPr>
                <w:p>
                  <w:pPr>
                    <w:jc w:val="both"/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 w:eastAsiaTheme="minor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门框板1.2mm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  <w:vMerge w:val="continue"/>
                </w:tcPr>
                <w:p>
                  <w:pPr>
                    <w:jc w:val="both"/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 w:eastAsiaTheme="minor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铰链板3.0mm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90" w:type="dxa"/>
                </w:tcPr>
                <w:p>
                  <w:pPr>
                    <w:jc w:val="both"/>
                    <w:rPr>
                      <w:rFonts w:hint="eastAsia" w:eastAsiaTheme="minorEastAsia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可靠性</w:t>
                  </w:r>
                </w:p>
              </w:tc>
              <w:tc>
                <w:tcPr>
                  <w:tcW w:w="6705" w:type="dxa"/>
                </w:tcPr>
                <w:p>
                  <w:pPr>
                    <w:jc w:val="both"/>
                    <w:rPr>
                      <w:rFonts w:hint="default"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8"/>
                      <w:vertAlign w:val="baseline"/>
                      <w:lang w:val="en-US" w:eastAsia="zh-CN"/>
                    </w:rPr>
                    <w:t>在进行500次启闭试验后，防火门不应有松动、脱落、严重变形和启闭卡阻现象</w:t>
                  </w:r>
                </w:p>
              </w:tc>
            </w:tr>
          </w:tbl>
          <w:p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注：1.该防盗门安装在科研楼五层人事科档案室1个、五层财务科档案室2个、五层行政办文书储存室1个。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2.为了保护档案、文书资料的安全，必须兼备甲级防火性能。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防盗门安装完成，货物验收合格并交付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A8B1444"/>
    <w:rsid w:val="108E7745"/>
    <w:rsid w:val="12960034"/>
    <w:rsid w:val="170479F1"/>
    <w:rsid w:val="1CD10EAC"/>
    <w:rsid w:val="215D551A"/>
    <w:rsid w:val="24716F9E"/>
    <w:rsid w:val="25983D9C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DE31FD"/>
    <w:rsid w:val="61180A6C"/>
    <w:rsid w:val="63BB7DD5"/>
    <w:rsid w:val="6A046E6E"/>
    <w:rsid w:val="7102320C"/>
    <w:rsid w:val="732C22C8"/>
    <w:rsid w:val="75D141D1"/>
    <w:rsid w:val="767B672B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Yanny</cp:lastModifiedBy>
  <dcterms:modified xsi:type="dcterms:W3CDTF">2025-09-09T10:34:13Z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